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9D1" w:rsidRPr="00A419D1" w:rsidRDefault="00A419D1" w:rsidP="00A419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419D1">
        <w:rPr>
          <w:rFonts w:ascii="Times New Roman" w:hAnsi="Times New Roman" w:cs="Times New Roman"/>
          <w:b/>
          <w:sz w:val="24"/>
          <w:szCs w:val="28"/>
        </w:rPr>
        <w:t>Лечение кишечных инфекций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Эпидемиологическая ситуация в мире по заболеваемости острыми кишечными инфекциями (ОКИ) остается на стабильно неблагоприятном уровне. С января по июнь 2015 г. в Российской Федерации был зарегистрирован 16 491 случай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сальмонеллезной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инфекции, более половины приходилось на детей в возрасте до 14 лет (8161 пациент). Показатель заболеваемости на 100 тыс. населения другими ОКИ, вызванными установленными бактериальными, вирусными возбудителями, а также пищевые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токсикоинфекции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установленной этиологии, составил в указанный период 98,3, а для детского населения – 511,8. Для ОКИ неустановленной этиологии этот показатель за первые 6 месяцев 2015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г. равнялся 170,0, а для детей – 556,6 на 100 тыс. населения.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Высокие показатели заболеваемости (от 13,06 до 44,98 на 100 тыс. населения) зарегистрированы в Ненецком, Ханты-Мансийском, Ямало-Ненецком автономных округах, в Томской, Тамбовской, Липецкой, Иркутской, Новосибирской, Амурской, Оренбургской, Кемеровской, Калининградской областях, респуб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ликах Коми, Мордовия, Саха [1].</w:t>
      </w:r>
      <w:proofErr w:type="gramEnd"/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Этиологическая структура ОКИ в настоящее время характеризуется преобладанием вирусных агентов над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бактериальными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При этом доминирующими возбудителями являются рот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а-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норовирусные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инфекции. Следует отметить, что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норовирусная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инфекция играет большую роль во вспышках ОКИ, а также в случае развития инфекций, связанных с оказанием медицинской помощи. Среди бактериальных инфекций лидирующие позиции в этиологической структуре занимают сальмонеллез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кампилобактериоз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[2].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сожалению, в рутинной клинической практике этиология ОКИ в большинстве случаев остается неустановленной. В таких случаях диаг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ноз выставляется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посиндромно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гастрит, гастроэнтерит, энтерит, энтероколит, колит,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гемоколит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тотальное поражение всего желудочно-кишечного тракта (ЖКТ) –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гастроэнтероколит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(табл. 1) [3].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A008FD0" wp14:editId="4299E4FF">
            <wp:extent cx="6667500" cy="3895725"/>
            <wp:effectExtent l="0" t="0" r="0" b="9525"/>
            <wp:docPr id="9" name="Рисунок 9" descr="https://lib.medvestnik.ru/apps/lib/assets/uploads/therapy/2015/02/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.medvestnik.ru/apps/lib/assets/uploads/therapy/2015/02/4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Установление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этиопатогенетической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группы диареи является важным компонентом тактики терапии: водянистая диарея в большинстве случаев вызвана вирусами и требует назначения в качестве этиотропной терапии противовирусных препаратов, инвазивная – относится к бактериальным ОКИ, что диктует необходимость рассмотрения антибактериальной терапии.</w:t>
      </w:r>
      <w:proofErr w:type="gramEnd"/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форме тяжести ОКИ подразделяются на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легкую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среднюю и тяжелую. Установление формы тяжести заболевания осуществляется путем интегрального анализа клинических данных по трем блокам:</w:t>
      </w:r>
    </w:p>
    <w:p w:rsidR="00A419D1" w:rsidRPr="00A419D1" w:rsidRDefault="00A419D1" w:rsidP="00A419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распространенность поражения ЖКТ и других органов инфекционным процессом;</w:t>
      </w:r>
    </w:p>
    <w:p w:rsidR="00A419D1" w:rsidRPr="00A419D1" w:rsidRDefault="00A419D1" w:rsidP="00A419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интенсивность проявления основных клинических симптомов заболевания;</w:t>
      </w:r>
    </w:p>
    <w:p w:rsidR="00A419D1" w:rsidRPr="00A419D1" w:rsidRDefault="00A419D1" w:rsidP="00A419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объективизация жалоб пациента [4].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Симптомы из представленного в блоках перечня (табл. 2) оцениваются по их наличию (есть или нет – блок 1), а также по интенсивности проявлений в соответствии с предлагаемой шкалой (блоки 2 и 3). У пациента могут отмечаться не все клинические проявления данного заболевания, представленные в блоках. В таком случае оценка проводится по имеющимся симптомам, отсутствующие проявления заболевания не учитываются. Данный метод интегральной оценки клинических данных применим как в терапевтической, так и в педиатрической практике.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Установление формы тяжести можно проводить визуально: чем больше пунктов отмечено в блоке 1 и чем больше суммарное количество баллов в блоках 2 и 3, тем более тяжелая форма заболевания отмечается у больного. Однако более предпочтительным является расчет интегрального индекса клинических симптомов, который осуществляется по формуле: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ИИКС = ((А×100/11) + (В×100/36) + (С×100/24))/3,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где показатель А – сумма положительных значений для каждого пункта блока 1, В 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С–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сумма положительных значений для каждого пункта блоков 2 и 3 соответственно.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4F2DA96" wp14:editId="13B87F11">
            <wp:extent cx="6667500" cy="9629775"/>
            <wp:effectExtent l="0" t="0" r="0" b="9525"/>
            <wp:docPr id="8" name="Рисунок 8" descr="https://lib.medvestnik.ru/apps/lib/assets/uploads/therapy/2015/02/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b.medvestnik.ru/apps/lib/assets/uploads/therapy/2015/02/45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Значения данного показателя в пределах от 1 до 35% относятся к легкой форме, от 36 до 70% – к среднетяжелой, а 71% и более – к тяжелой форме заболевания.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важных компонентов ведения больных ОКИ является оценка эпидемиологического анамнеза заболевания, которую наиболее удобно проводить по следующей схеме (табл. 3).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Эпидемиологический анамнез необходим врачу, чтобы сориентироваться в этиологии заболевания. Так, пищевой 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водный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пути передачи более характерны для бактериальных ОКИ, контактно-бытовой – для вирусных агентов. В осенне-зимний период отмечается подъем заболеваемости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вирусными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ОКИ, в летний – бактериальными.</w:t>
      </w:r>
    </w:p>
    <w:p w:rsidR="004512DE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7EF6919" wp14:editId="269FA738">
            <wp:extent cx="2857500" cy="1962150"/>
            <wp:effectExtent l="0" t="0" r="0" b="0"/>
            <wp:docPr id="7" name="Рисунок 7" descr="https://lib.medvestnik.ru/apps/lib/assets/uploads/therapy/2015/02/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b.medvestnik.ru/apps/lib/assets/uploads/therapy/2015/02/4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каждый случай инфекционного заболевания (подозрения) заполняют экстренное извещение по форме № 58, которое должно быть передано в течение 12 ч в территориальный центр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Роспотребнадзора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месту регистрации заболевания (независимо от места жительства больного). ЛПУ, уточнившее или изменившее диагноз, обязано составить новое экстренное извещение и в течение 24 ч отослать его в центр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Роспотребнадзора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месту обнаружения заболевания, указав измененный диагноз, дату его установления, первоначальный диагноз и результаты лабораторного обследования [3].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Дифференциальная диагностика ОКИ основывается на клинических особенностях ведущих синдромов – поражении ЖКТ, синдроме интоксикации и развитии дегидратации (табл.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и клинико-лабораторном подтверждении этиологии заболевания (табл. 5). Клинико-лабораторное обследование пациентов с ОКИ должно осуществляться поэтапно:</w:t>
      </w:r>
    </w:p>
    <w:p w:rsidR="00A419D1" w:rsidRPr="00A419D1" w:rsidRDefault="00A419D1" w:rsidP="00A419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1-й этап – предварительная клиническая диаг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ностика;</w:t>
      </w:r>
    </w:p>
    <w:p w:rsidR="00A419D1" w:rsidRPr="00A419D1" w:rsidRDefault="00A419D1" w:rsidP="00A419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2-й этап – окончательная диагностика, основанная на результатах данных лабораторных и инструментальных методов диагностики, оценке дальнейшей динамики клинических проявлений болезни;</w:t>
      </w:r>
    </w:p>
    <w:p w:rsidR="00A419D1" w:rsidRPr="00A419D1" w:rsidRDefault="00A419D1" w:rsidP="00A419D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3-й этап – диагностика в периоде реконвалесценции (оценка санации от возбудителя, состояния органов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гепатобилиарной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системы, микрофлоры ЖКТ и т.п.).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Дифференциальная диагностика ОКИ с другими заболеваниями зависит от возраста пациента (табл. 6).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Терапевтическая тактика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конкретного пациента базируется на знании или предположении (на основании клинических особенностей, данных эпидемиологического анамнеза) об этиологии заболевания: бактериальная или вирусная инфекция. Кроме того, необходимо учитывать возраст пациента, особенности его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преморбидного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фона и период заболевания. Схема терапевтической тактики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 в зависимости от типа диареи и периода заболевания приведена в табл. 7.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Этиотропная терапия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является ключевым звеном и имеет три основных направления:</w:t>
      </w:r>
    </w:p>
    <w:p w:rsidR="00A419D1" w:rsidRPr="00A419D1" w:rsidRDefault="00A419D1" w:rsidP="00A419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устранение возбудителя инфекции (антибактериальные, противовирусные, противопаразитарные препараты, бактериофаги);</w:t>
      </w:r>
    </w:p>
    <w:p w:rsidR="00A419D1" w:rsidRPr="00A419D1" w:rsidRDefault="00A419D1" w:rsidP="00A419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связывание возбудителя (специфические антитела и сыворотки, сорбенты);</w:t>
      </w:r>
    </w:p>
    <w:p w:rsidR="00A419D1" w:rsidRPr="00A419D1" w:rsidRDefault="00A419D1" w:rsidP="00A419D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выведение (сорбенты) [3, 5].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Противовирусные препараты рекомендованы при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вирусных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ОКИ. Показаниями к их назначению являются:</w:t>
      </w:r>
    </w:p>
    <w:p w:rsidR="00A419D1" w:rsidRPr="00A419D1" w:rsidRDefault="00A419D1" w:rsidP="00A419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установленная вирусная этиология ОКИ; в связи с этим представляется целесообразным более широкое использование в рутинной клинической практике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экспресс-тестов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быстрой диагностики вирусной этиологии ОКИ;</w:t>
      </w:r>
    </w:p>
    <w:p w:rsidR="00A419D1" w:rsidRPr="00A419D1" w:rsidRDefault="00A419D1" w:rsidP="00A419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предполагаемая вирусная этиология ОКИ (заболевание в форме острого инфекционного гастрита, энтерита, гастроэнтерита; зимний период; «вспышечная» заболеваемость);</w:t>
      </w:r>
    </w:p>
    <w:p w:rsidR="00A419D1" w:rsidRPr="00A419D1" w:rsidRDefault="00A419D1" w:rsidP="00A419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раннее обращение за медицинской помощью;</w:t>
      </w:r>
    </w:p>
    <w:p w:rsidR="00A419D1" w:rsidRPr="00A419D1" w:rsidRDefault="00A419D1" w:rsidP="00A419D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профилактика инфекций, связанных с оказанием медицинской помощи, вирусной этиологии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ротавирусная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норовирусная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Среди противовирусных препаратов эффективность в клинических исследованиях показали препараты, содержащие аффинно очищенные антитела к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гамма-интерферону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человека, интерферон альфа-2b в сочетании с таурином,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метилфенилтиометил-диметиламинометил-гидроксиброминдол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карбоновой кислоты этиловый эфир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умифеновир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[6–9].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5DEDF97" wp14:editId="6234924C">
            <wp:extent cx="6667500" cy="9658350"/>
            <wp:effectExtent l="0" t="0" r="0" b="0"/>
            <wp:docPr id="6" name="Рисунок 6" descr="https://lib.medvestnik.ru/apps/lib/assets/uploads/therapy/2015/02/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b.medvestnik.ru/apps/lib/assets/uploads/therapy/2015/02/4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5DD63C6" wp14:editId="69496790">
            <wp:extent cx="6667500" cy="6562725"/>
            <wp:effectExtent l="0" t="0" r="0" b="9525"/>
            <wp:docPr id="5" name="Рисунок 5" descr="https://lib.medvestnik.ru/apps/lib/assets/uploads/therapy/2015/02/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medvestnik.ru/apps/lib/assets/uploads/therapy/2015/02/48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Вопросы антибактериальной терапии ОКИ для практикующего врача остаются одними из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самых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насущных. К сожалению, большая часть докто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ров подходит к вопросу назначения антибиотиков шаблонно, без учета этиологии заболевания, рекомендуют их даже при вирусных ОКИ и без знания данных о чувствительности и резистентности основных бактериальных возбудителей. Абсолютными показаниями к назначению антибактериальных лекарственных средств (ЛС), на основании рекомендаций Всемирной организации здравоохранения, считаются установленные диагнозы дизентерии, брюшного тифа, амебиаза, холеры [2, 3].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нашей стране предусмотрены более детальные показания для назначения антибиотиков: наличие клинических признаков инвазивной диареи,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гемоколита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(исключение составляет ОКИ, вызванные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энтерогеморрагическими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E.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Coli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при которых назначение антибактериальной терапии может повысить риск развития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геолитико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-уремического синдрома), возраст больше 65 лет, наличие в анамнезе поражения ЖКТ воспалительного характера,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иммуносупрессивные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состояния (ВИЧ-инфекция, онкологические заболевания, сахарный диабет), хронические заболевания/пациенты из группы риска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гемоглобинопатии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потребность в гемодиализе и т.п.) [2].</w:t>
      </w:r>
      <w:proofErr w:type="gramEnd"/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 время существует достаточно большой выбор антибактериальных средств. При их назначении необходимо учитывать следующие факторы: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антимикробный спектр действия ЛС;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механизм антимикробного действия (бактерицидное, бактериостатическое);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наличие лекарственной устойчивости возбудителей ОКИ, циркулирующих в данное время в данной местности, на данной территории или в данном стационаре – в связи с этим необходимо подчеркнуть важность регулярных бактериологических исследований с определением чувствительности в каждом регионе, лечебно-профилактическом учреждении;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фармакодинамика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фармакокинетика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препарата (всасывание, распределение, выведение, способность к внутриклеточному проникновению и накоплению в тканях организма, пути его выведения из организма) и их соответствие патогенезу данной инфекции;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возможные побочные реакции и доказанная в клинических исследованиях безопасность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использования;</w:t>
      </w:r>
    </w:p>
    <w:p w:rsidR="00A419D1" w:rsidRPr="00A419D1" w:rsidRDefault="00A419D1" w:rsidP="00A419D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применительно к педиатрической практике – наличие лекарственных форм, предназначенных для детей (сироп и т.п.) [10].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016E7D6" wp14:editId="49C8E57E">
            <wp:extent cx="6667500" cy="9629775"/>
            <wp:effectExtent l="0" t="0" r="0" b="9525"/>
            <wp:docPr id="4" name="Рисунок 4" descr="https://lib.medvestnik.ru/apps/lib/assets/uploads/therapy/2015/02/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b.medvestnik.ru/apps/lib/assets/uploads/therapy/2015/02/49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Антибактериальные средства, рекомендованные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ОКИ, подразделяются на два типа: кишечные антисептики и препараты, предназначенные для системного действия (рисунок). Первая группа может быть рекомендована для назначения в амбулаторно-поликлинической практике, где наиболее оправданной тактикой стартовой терапии ОКИ является использование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нитрофуранов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нифуроксазид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нифурантел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).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Хинолоны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налидиксовая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кислота,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ципрофлоксацин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хорошо себя зарекомендовали в терапии сальмонеллезов. Цефалоспорины рекомендованы для системной антибактериальной терапии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среднетяжелых и тяжелых ОКИ в условиях стационара. Возможно назначение тетрациклинов,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метронидазола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аминогликозидов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хлорамфеникола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Препаратами выбора для стартовой этиотропной терапии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кампилобактериоза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являются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макролиды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(эритромицин,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макропен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азитромицин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кларитромицин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Курс антибактериальной терапии в острой фазе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локализованных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 должен составлять не менее 5–7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Показания к смене препарата общепринятые – клиническая неэффективность ЛС в течение 3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[3, 10].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Следует отметить, что в последние годы большинство возбудителей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резистентны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фуразолидону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Сальмонеллы сохраняют высокую чувствительность к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фторхинолонам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(например,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ципрофлоксацин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96,7% штаммов чувствительны, однако к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пефлоксацину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23,3% умеренно устойчивы и 17,2% устойчивы),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налидиксовой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кислоте (53,1%), к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амикацину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(61,1%), к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нетилмицину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(63,9%), к некоторым цефалоспоринам II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цефокситин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цефуроксим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86,7–57,9%), III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цефтриаксон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цефотаксим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цефтазидим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84,4, 85,0 и 81,7 соответственно) и IV поколения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цефепим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91,3% чувствительных штаммов).</w:t>
      </w:r>
      <w:proofErr w:type="gramEnd"/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Всем пациентам вне зависимости от этиологии и формы тяжести заболевания в качестве одного из важных аспектов этиотропной терапии должны быть назначены сорбенты (угольные, синтетические, минеральные, волокнистые). В настоящее время на российском фармацевтическом рынке присутствует достаточно большое количество препаратов, обладающих сорбционными свойствами в различной степени [11]. Назначение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энтеросорбентов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показано в как можно более ранние сроки болезни – до идентификации возбудителя, позволяет добиваться «обрывающего» действия на течение ОКИ. Применение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энтеросорбентов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поздние сроки заболевания (после 5–7-го дня), особенно при инвазивных ОКИ, меньше влияет на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диарейный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синдром, но оказывает выраженное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дезинтоксикационное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энтеропротективное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действие. К важным положительным моментам использования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энтеросорбентов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следует относить и отсутствие влияния этих препаратов на состав облигатной микрофлоры кишечника. Курс лечения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энтеросорбентами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обычно составляет 5–7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Критерий ранней отмены препаратов – стойкая нормализация стула или его задержка в течение 2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[3].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B18EA11" wp14:editId="45D8591B">
            <wp:extent cx="6667500" cy="9620250"/>
            <wp:effectExtent l="0" t="0" r="0" b="0"/>
            <wp:docPr id="3" name="Рисунок 3" descr="https://lib.medvestnik.ru/apps/lib/assets/uploads/therapy/2015/02/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.medvestnik.ru/apps/lib/assets/uploads/therapy/2015/02/50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Среди </w:t>
      </w:r>
      <w:r w:rsidRPr="00A419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патогенетических методов терапии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наиболее важными остаются средства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(оральной, парентеральной), препараты, влияющие на процессы дегидратации (желатина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танат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диагностики обезвоживания «золотым стандартом» является оценка динамики массы тела пациента. Так,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эксикозу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I степени соответствует потеря до 5% массы тела, что составляет до 50 мл/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кг жидкости,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эксикозу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II степени – потеря 6–10% массы тела (60–100 мл/кг),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эксикозу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III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степени – потеря более 10% массы тела (110–150 мл/кг). Обезвоживание, характеризующееся потерей более 20% массы тела, несовместимо с жизнью [3].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Оральная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показана всем пациентам с ОКИ. Для этих целей используют специальные, сбалансированные по электролитному составу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осмолярности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растворы для оральной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содержащие 75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мэкв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/л натрия и 75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мэкв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/л глюкозы, с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осмолярностью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245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мосм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/л.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Оральная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проводится в два этапа:</w:t>
      </w:r>
    </w:p>
    <w:p w:rsidR="00A419D1" w:rsidRPr="00A419D1" w:rsidRDefault="00A419D1" w:rsidP="00A419D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1-й этап –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первичная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(первые 6 ч от момента обращения к врачу) – назначается суммарное количество жидкости 50–80 мл/кг за 6 ч.</w:t>
      </w:r>
    </w:p>
    <w:p w:rsidR="00A419D1" w:rsidRPr="00A419D1" w:rsidRDefault="00A419D1" w:rsidP="00A419D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2-й этап –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поддерживающая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(восполнение текущих потерь жидкости при ОКИ) – количество жидкости 80–100 мл/кг/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Следует подчеркнуть, что в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регидратационную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терапию должны быть включены и бессолевые растворы, среди которых предпочтение следует отдать питьевой воде (не минеральной!), возможно использование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пектинсодержащих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отваров (яблочный компот без сахара, морковно-рисовый отвар). При этом соотношение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глюкозо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-солевых растворов и кипяченой воды должно быть 1:1 при водянистой диарее, 2:1 – при выраженной рвоте, 1:2 – при инвазивных диареях [2, 3].</w:t>
      </w:r>
    </w:p>
    <w:p w:rsidR="004512DE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7DF2CDD" wp14:editId="67C8DBC5">
            <wp:extent cx="2857500" cy="1657350"/>
            <wp:effectExtent l="0" t="0" r="0" b="0"/>
            <wp:docPr id="2" name="Рисунок 2" descr="https://lib.medvestnik.ru/apps/lib/assets/uploads/therapy/2015/02/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ib.medvestnik.ru/apps/lib/assets/uploads/therapy/2015/02/51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тяжелых формах ОКИ, отсутствии эффекта от оральной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наличии обильной рвоты, отеков, развитии функциональной (острой) почечной недостаточности необходимо обеспечивать пациенту проведение парентеральной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регидратации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Одним из новых препаратов для парентеральной дегидратации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 является 1,5% раствор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меглюмина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натрия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сукцинат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реамберин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[12].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Использование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противодиарейных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средств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лоперамид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при ОКИ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патогенетически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оправдано, т.к. механизм действия данных препаратов подразумевает снижение моторики ЖКТ (усиление моторики является защитной реакцией организма при остром инфекционном поражении кишечника) и может способствовать усугуб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лению интоксикационного синдрома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ОКИ любых форм тяжести являются причиной значительных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измененией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микробиоценоза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ЖКТ. Назначение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качестве препаратов «стартовой» терапии, особенно при вирусных диареях, позволяет сокращать сроки купирования основных симптомов заболевания, способствует восстановлению параметров микрофлоры ЖКТ. Данные препараты показаны также всем пациентам в периоде реконвалесценции с целью улучшения параметров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микробиоценоза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Современный подход к терапии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пробиотиками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подразумевает назначение препарата с учетом свой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шт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аммов, входящих в его состав. Генетическое разнообразие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штаммов определяет и их фенотипические различия, в первую очередь по клиническим эффектам, при этом не все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штаммы убедительно показали свою эффективность в клинической практике при определенных заболеваниях, что диктует необходимость анализа данных о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штамм-специфичных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свойствах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различных клинических ситуациях [13]. Тактика терапии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пробиотиками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 представлена в табл. 8.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штаммовых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свойств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пробиотиков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используемых в терапии ОКИ, наиболее существенным является способность к адгезии, играющей ключевую роль в обеспечении колонизационной резистентности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иммуннотропного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влияния, что важно не только в остром периоде заболевания, но и в периоде репарации, реконвалесценции, а также в случае развития синдрома избыточного бактериального роста.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штаммов, характеризующихся высоким уровнем адгезии, можно выделить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Bb12. В исследованиях для данного микроорганизма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in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vitro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была показана способность к высокоуровневой адгезии к поверхностям с муцином (использовались поликарбонатные луночные планшеты), без муцина и пленкам клеточных культур (Caco-2, HT29-MTX) [14], в том числе на фоне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ротавирусной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 и после нее [15].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 числу важных для клинического применения свойств данного штамма следует отнести его устойчивость к действию агрессивных сред организма человека – соляной кислоты и желчи. Для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 было показано, что данный микроорганизм при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низких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рН синтезирует рН-зависимую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АТФазу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регулирующую кислотно-основной баланс внутри бактерии. Данный фермент позволяет сохранить жизнедеятельность микроорганизму в условиях кислой среды желудка [16]. А наличие у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 гидролазы солей желчных кислот позволяет бактерии сохранять активность в присутствии желчи [17].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Штамм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 характеризуется выраженной антагонистической активностью в отношении целого ряда кишечных патогенов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Bacillus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cereus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Clostridium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difficile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Clostridium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perfringens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тип A,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Escherichia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coli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Listeria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monocytogenes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Pseudomonas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aeruginosa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Salmonella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enterica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subsp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enterica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serovar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Typhimurium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S.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enterica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subsp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enterica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serovar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Typhi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Shigella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flexneri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Shigella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sonnei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Campylobacter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jejuni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Candida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albicans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[18, 19]), что делает использование его предпочтительным при ОКИ бактериальной этиологии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Особого внимания заслуживают пациенты, которые нуждаются в терапии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антибактериальными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ЛС. Вызванные течением инфекционного процесса изменения микрофлоры ЖКТ могут усугубляться действием антибиотиков. Поэтому данная категория пациентов нуждается во включении в состав комплексной терапии ОКИ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ЛС, направленных на поддержание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микробиоценоза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этом случае штамм-специфичные свойства устойчивости к антибактериальными средствам делает некоторые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пробиотические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штаммы препаратами выбора.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Так, проведенное исследование показало, что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 обладает резистентностью к таким антибиотикам, как гентамицин, стрептомицин,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полимиксин</w:t>
      </w:r>
      <w:proofErr w:type="spellEnd"/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налидиксовая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кислота,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канамицин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неомицин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циклосерин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тетрациклин,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спектиномицин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Это исследование делает препараты, в состав которых входит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Bb12, препаратами выбора при назначении пациентам данных антибактериальных средств, например,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ОКИ (сальмонеллез,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шигеллез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[20].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Проведенные плацебо-контролируемые исследования показали, что, помимо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терапевтических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штамму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 присущи и профилактические свойства. В частности, его применение снижает риск развития инфекций ЖКТ, в том числе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ротавирусной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связанных с оказанием медицинской помощи [21, 22].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FA40B54" wp14:editId="73536B88">
            <wp:extent cx="6667500" cy="3876675"/>
            <wp:effectExtent l="0" t="0" r="0" b="9525"/>
            <wp:docPr id="1" name="Рисунок 1" descr="https://lib.medvestnik.ru/apps/lib/assets/uploads/therapy/2015/02/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b.medvestnik.ru/apps/lib/assets/uploads/therapy/2015/02/52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Следует отметить, что высокий профиль без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 xml:space="preserve">опасности данного штамм был утвержден регуляторными органами в Европе (в 2008 г.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European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Food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Safety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Authority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(EFSA) присвоил ему статус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Qualified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Presumption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of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Safety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(безусловной безопасности)) и в США (Управлением по контролю за пищевыми продуктами и лекарственными средствами (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FDA) 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 признан безопасным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Generally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Regarded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Safe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(GRAS)).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Еще одним штаммом, заслуживающим внимания, является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Lactobacillus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acidophilus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(LA-5). Он относится к молочнокислым бактериям, основной отличительной особенностью которых является выраженная антибактериальная активность. Это реализуется путем снижения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pH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кишечнике за счет синтеза молочной кислоты, выработки метаболитов, которые обладают токсическим действием в отношении патогенных бактерий, образования Н2О2,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бактериоцинов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конкуренции с патогенными бактериями за питательные вещества, взаимодействия с рецепторами адгезии,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предотвращая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таким образом колонизацию патогенными и условно-патогенными микроорганизмами.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Важным свойством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Lactobacillus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acidophilus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показанным в клинических исследования, является профилактика антибиотик-ассоциированной диареи (ААД) у взрослых [23].</w:t>
      </w:r>
      <w:proofErr w:type="gramEnd"/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пробиотических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средств терапии, содержащих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Bb12, можно рекомендовать препарат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Линекс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® Форте, содержащий молочнокислые бактерии (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Lactobacillus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acidophilus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(LA-5) 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Bifidobacterium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animalis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subsp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lactis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(Bb12)). Каждая капсула препарата содержит 2×109 колониеобразующих единиц живых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лиофилизированных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молочнокислых бактерий. Данный препарат может быть назначен в остром периоде ОКИ, в периоде репарации и реконвалесценции, а также в случае развития синдрома избыточного бактериального роста после перенесенной ОКИ и в качестве профилактики развития ААД при приеме антибиотиков. Схема лечения в остром периоде ОКИ: для детей с рождения и до 2 лет – по 1 капсуле 1 раз/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для детей в возрасте 2–12 лет – по 1 капсуле 1–2 раза/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дети старше 12 лет и взрослые – по 1 капсуле 3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раза/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 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Далее возможно снижение дозы до 1–2 капсул/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зависимости от клинической ситуации. В период реконвалесценции или для профилактики ААД рекомендуется назначать по 1 капсуле 1 раз/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сут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пациентам всех возрастных групп. Для обеспечения максимальной эффективности препарат рекомендуется принимать после еды, а для профилактики ААД – через 3 ч после приема антибиотиков.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 w:rsidRPr="00A419D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Симптоматическая терапия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bookmarkEnd w:id="0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включает терапию лихорадочных состояний. Жаропонижающие средства показаны не всем пациентам, т.к. повышение температуры является адаптационной реакцией организма на инфекцию, создающей оптимальные условия для иммунной перестройки </w:t>
      </w: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организма. Назначение данной категории ЛС показано всем больным при гипертермии, а при наличии тяжелой сопутствующей патологии – при лихорадке более 38,50С.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Развитие вторичной панкреатической недостаточности, обострения хронической патологии поджелудочной железы нередко наблюдаются в периоде репарации и реконвалесценции ОКИ. Следует обратить внимание, что при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норовирусной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инфекции поражение поджелудочной железы отмечается чаще, чем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другой этиологии. В таких случаях показано назначение ферментных препаратов, предпочтительно в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минимикросферической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форме. Следует учесть, что в остром периоде ОКИ ферментные препараты не показаны. Наиболее оптимальным сроком их назначения при наличии показаний являются 5–6-е сутки, критерий назначения – появление у пациента аппетита.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купирования упорной рвоты можно использовать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прокинетики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противорвотные препараты: метоклопрамид,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домперидон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прометазин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0,25% новокаин – 1 ложку (чайную, десертную, столовую по возрасту) [3].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Критерии оценки эффективности лечения:</w:t>
      </w:r>
    </w:p>
    <w:p w:rsidR="00A419D1" w:rsidRPr="00A419D1" w:rsidRDefault="00A419D1" w:rsidP="00A419D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клинические (купирование интоксикационного синдрома, нормализация температуры, купирование рвоты, диареи и других симптомов);</w:t>
      </w:r>
    </w:p>
    <w:p w:rsidR="00A419D1" w:rsidRPr="00A419D1" w:rsidRDefault="00A419D1" w:rsidP="00A419D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клинико-лабораторные (стойкая нормализация гемограммы, </w:t>
      </w:r>
      <w:proofErr w:type="spell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копроцитограммы</w:t>
      </w:r>
      <w:proofErr w:type="spell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отрицательные результаты при </w:t>
      </w:r>
      <w:proofErr w:type="gramStart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бактериологическом</w:t>
      </w:r>
      <w:proofErr w:type="gramEnd"/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ПЦР-обследовании).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тем, что санация от возбудителя, полная репарация кишечника и восстановление его нарушенных функций наступают значительно позже, чем исчезают клинические проявления болезни, целесообразно проводить динамическое наблюдение за пациентами, перенесшими ОКИ.</w:t>
      </w:r>
    </w:p>
    <w:p w:rsidR="00A419D1" w:rsidRPr="00A419D1" w:rsidRDefault="00A419D1" w:rsidP="00A419D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419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ОКИ требуют от врача особых подходов к диагностике, тактике ведения и терапии.</w:t>
      </w:r>
    </w:p>
    <w:p w:rsidR="00A74C4B" w:rsidRPr="00A419D1" w:rsidRDefault="004512DE" w:rsidP="00A419D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74C4B" w:rsidRPr="00A419D1" w:rsidSect="00A419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B6DD7"/>
    <w:multiLevelType w:val="multilevel"/>
    <w:tmpl w:val="3DEA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9D217D"/>
    <w:multiLevelType w:val="multilevel"/>
    <w:tmpl w:val="CDC6A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C97D95"/>
    <w:multiLevelType w:val="multilevel"/>
    <w:tmpl w:val="3764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391FCB"/>
    <w:multiLevelType w:val="multilevel"/>
    <w:tmpl w:val="A802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6B6867"/>
    <w:multiLevelType w:val="multilevel"/>
    <w:tmpl w:val="02782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1239F1"/>
    <w:multiLevelType w:val="multilevel"/>
    <w:tmpl w:val="2350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2A4DBD"/>
    <w:multiLevelType w:val="multilevel"/>
    <w:tmpl w:val="0B4E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9D1"/>
    <w:rsid w:val="004512DE"/>
    <w:rsid w:val="00571701"/>
    <w:rsid w:val="00A419D1"/>
    <w:rsid w:val="00AC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1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1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0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3426</Words>
  <Characters>19530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lasertagnvrsk@gmail.com</dc:creator>
  <cp:lastModifiedBy>lasertagnvrsk@gmail.com</cp:lastModifiedBy>
  <cp:revision>2</cp:revision>
  <dcterms:created xsi:type="dcterms:W3CDTF">2024-01-30T12:54:00Z</dcterms:created>
  <dcterms:modified xsi:type="dcterms:W3CDTF">2024-01-30T13:04:00Z</dcterms:modified>
</cp:coreProperties>
</file>